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3" w:rsidRPr="001D6235" w:rsidRDefault="00DD2C23" w:rsidP="009D77E3">
      <w:pPr>
        <w:pStyle w:val="NoSpacing"/>
        <w:rPr>
          <w:sz w:val="21"/>
          <w:szCs w:val="21"/>
        </w:rPr>
      </w:pPr>
      <w:r w:rsidRPr="001D6235">
        <w:rPr>
          <w:sz w:val="21"/>
          <w:szCs w:val="21"/>
        </w:rPr>
        <w:t>H4B – Hoofdstuk 1, § 1.</w:t>
      </w:r>
      <w:r w:rsidR="009D77E3">
        <w:rPr>
          <w:sz w:val="21"/>
          <w:szCs w:val="21"/>
        </w:rPr>
        <w:t>3</w:t>
      </w:r>
      <w:r w:rsidRPr="001D6235">
        <w:rPr>
          <w:sz w:val="21"/>
          <w:szCs w:val="21"/>
        </w:rPr>
        <w:t xml:space="preserve"> – </w:t>
      </w:r>
      <w:r w:rsidR="009D77E3">
        <w:rPr>
          <w:sz w:val="21"/>
          <w:szCs w:val="21"/>
        </w:rPr>
        <w:t>Wat is waar en wat is niet waar</w:t>
      </w:r>
      <w:r w:rsidRPr="001D6235">
        <w:rPr>
          <w:sz w:val="21"/>
          <w:szCs w:val="21"/>
        </w:rPr>
        <w:t>?</w:t>
      </w:r>
    </w:p>
    <w:p w:rsidR="00DD2C23" w:rsidRPr="001D6235" w:rsidRDefault="00DD2C23" w:rsidP="00DD2C23">
      <w:pPr>
        <w:pStyle w:val="NoSpacing"/>
        <w:rPr>
          <w:sz w:val="21"/>
          <w:szCs w:val="21"/>
        </w:rPr>
      </w:pPr>
    </w:p>
    <w:p w:rsidR="00DD2C23" w:rsidRPr="001D6235" w:rsidRDefault="00DD2C23" w:rsidP="00DD2C23">
      <w:pPr>
        <w:pStyle w:val="NoSpacing"/>
        <w:rPr>
          <w:sz w:val="21"/>
          <w:szCs w:val="21"/>
        </w:rPr>
      </w:pPr>
      <w:r w:rsidRPr="001D6235">
        <w:rPr>
          <w:sz w:val="21"/>
          <w:szCs w:val="21"/>
        </w:rPr>
        <w:t>Week: 35</w:t>
      </w:r>
    </w:p>
    <w:p w:rsidR="00DD2C23" w:rsidRPr="001D6235" w:rsidRDefault="00DD2C23" w:rsidP="00DD2C23">
      <w:pPr>
        <w:pStyle w:val="NoSpacing"/>
        <w:rPr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3514"/>
        <w:gridCol w:w="8786"/>
        <w:gridCol w:w="8787"/>
      </w:tblGrid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Onderwerp/Groep</w:t>
            </w:r>
          </w:p>
        </w:tc>
        <w:tc>
          <w:tcPr>
            <w:tcW w:w="8786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Groep 2</w:t>
            </w:r>
          </w:p>
        </w:tc>
        <w:tc>
          <w:tcPr>
            <w:tcW w:w="8787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Groep 3</w:t>
            </w:r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Groep</w:t>
            </w:r>
          </w:p>
        </w:tc>
        <w:tc>
          <w:tcPr>
            <w:tcW w:w="8786" w:type="dxa"/>
          </w:tcPr>
          <w:p w:rsidR="00D952BD" w:rsidRPr="001D6235" w:rsidRDefault="00D952BD">
            <w:pPr>
              <w:rPr>
                <w:sz w:val="21"/>
                <w:szCs w:val="21"/>
              </w:rPr>
            </w:pPr>
            <w:r w:rsidRPr="001D6235">
              <w:rPr>
                <w:rFonts w:cs="Tahoma"/>
                <w:sz w:val="21"/>
                <w:szCs w:val="21"/>
              </w:rPr>
              <w:t xml:space="preserve">Naomi van der Leest, Jeroen </w:t>
            </w:r>
            <w:proofErr w:type="spellStart"/>
            <w:r w:rsidRPr="001D6235">
              <w:rPr>
                <w:rFonts w:cs="Tahoma"/>
                <w:sz w:val="21"/>
                <w:szCs w:val="21"/>
              </w:rPr>
              <w:t>R</w:t>
            </w:r>
            <w:r w:rsidRPr="001D6235">
              <w:rPr>
                <w:rFonts w:cs="Tahoma"/>
                <w:sz w:val="21"/>
                <w:szCs w:val="21"/>
              </w:rPr>
              <w:t>o</w:t>
            </w:r>
            <w:r w:rsidRPr="001D6235">
              <w:rPr>
                <w:rFonts w:cs="Tahoma"/>
                <w:sz w:val="21"/>
                <w:szCs w:val="21"/>
              </w:rPr>
              <w:t>overs</w:t>
            </w:r>
            <w:proofErr w:type="spellEnd"/>
            <w:r w:rsidRPr="001D6235">
              <w:rPr>
                <w:rFonts w:cs="Tahoma"/>
                <w:sz w:val="21"/>
                <w:szCs w:val="21"/>
              </w:rPr>
              <w:t xml:space="preserve">, Thomas </w:t>
            </w:r>
            <w:proofErr w:type="spellStart"/>
            <w:r w:rsidRPr="001D6235">
              <w:rPr>
                <w:rFonts w:cs="Tahoma"/>
                <w:sz w:val="21"/>
                <w:szCs w:val="21"/>
              </w:rPr>
              <w:t>Ottenhof</w:t>
            </w:r>
            <w:proofErr w:type="spellEnd"/>
            <w:r w:rsidRPr="001D6235">
              <w:rPr>
                <w:rFonts w:cs="Tahoma"/>
                <w:sz w:val="21"/>
                <w:szCs w:val="21"/>
              </w:rPr>
              <w:t xml:space="preserve"> en Max </w:t>
            </w:r>
            <w:proofErr w:type="spellStart"/>
            <w:r w:rsidRPr="001D6235">
              <w:rPr>
                <w:rFonts w:cs="Tahoma"/>
                <w:sz w:val="21"/>
                <w:szCs w:val="21"/>
              </w:rPr>
              <w:t>Reuling</w:t>
            </w:r>
            <w:proofErr w:type="spellEnd"/>
          </w:p>
        </w:tc>
        <w:tc>
          <w:tcPr>
            <w:tcW w:w="8787" w:type="dxa"/>
          </w:tcPr>
          <w:p w:rsidR="00D952BD" w:rsidRPr="001D6235" w:rsidRDefault="00D952BD" w:rsidP="00D952BD">
            <w:pPr>
              <w:pStyle w:val="NoSpacing"/>
              <w:rPr>
                <w:sz w:val="21"/>
                <w:szCs w:val="21"/>
              </w:rPr>
            </w:pPr>
            <w:r w:rsidRPr="001D6235">
              <w:rPr>
                <w:sz w:val="21"/>
                <w:szCs w:val="21"/>
              </w:rPr>
              <w:t xml:space="preserve">Luke </w:t>
            </w:r>
            <w:proofErr w:type="spellStart"/>
            <w:r w:rsidRPr="001D6235">
              <w:rPr>
                <w:sz w:val="21"/>
                <w:szCs w:val="21"/>
              </w:rPr>
              <w:t>Gloudemans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 w:rsidRPr="001D6235">
              <w:rPr>
                <w:sz w:val="21"/>
                <w:szCs w:val="21"/>
              </w:rPr>
              <w:t>Esma</w:t>
            </w:r>
            <w:proofErr w:type="spellEnd"/>
            <w:r w:rsidRPr="001D6235">
              <w:rPr>
                <w:sz w:val="21"/>
                <w:szCs w:val="21"/>
              </w:rPr>
              <w:t xml:space="preserve"> van </w:t>
            </w:r>
            <w:proofErr w:type="spellStart"/>
            <w:r w:rsidRPr="001D6235">
              <w:rPr>
                <w:sz w:val="21"/>
                <w:szCs w:val="21"/>
              </w:rPr>
              <w:t>Vonderen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1D6235">
              <w:rPr>
                <w:sz w:val="21"/>
                <w:szCs w:val="21"/>
              </w:rPr>
              <w:t xml:space="preserve">Lara </w:t>
            </w:r>
            <w:proofErr w:type="spellStart"/>
            <w:r w:rsidRPr="001D6235">
              <w:rPr>
                <w:sz w:val="21"/>
                <w:szCs w:val="21"/>
              </w:rPr>
              <w:t>Gijsbers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 w:rsidRPr="001D6235">
              <w:rPr>
                <w:sz w:val="21"/>
                <w:szCs w:val="21"/>
              </w:rPr>
              <w:t>Maran</w:t>
            </w:r>
            <w:proofErr w:type="spellEnd"/>
            <w:r w:rsidRPr="001D6235">
              <w:rPr>
                <w:sz w:val="21"/>
                <w:szCs w:val="21"/>
              </w:rPr>
              <w:t xml:space="preserve"> van der </w:t>
            </w:r>
            <w:proofErr w:type="spellStart"/>
            <w:r w:rsidRPr="001D6235">
              <w:rPr>
                <w:sz w:val="21"/>
                <w:szCs w:val="21"/>
              </w:rPr>
              <w:t>Dussen</w:t>
            </w:r>
            <w:proofErr w:type="spellEnd"/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Feiten en Meningen</w:t>
            </w:r>
          </w:p>
          <w:p w:rsidR="00D952BD" w:rsidRPr="001D6235" w:rsidRDefault="00D952BD" w:rsidP="00742B7A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D6235">
              <w:rPr>
                <w:b/>
                <w:bCs/>
                <w:sz w:val="21"/>
                <w:szCs w:val="21"/>
              </w:rPr>
              <w:t>(</w:t>
            </w:r>
            <w:r w:rsidRPr="001D6235">
              <w:rPr>
                <w:b/>
                <w:bCs/>
                <w:i/>
                <w:iCs/>
                <w:sz w:val="21"/>
                <w:szCs w:val="21"/>
              </w:rPr>
              <w:t>Objectief en Subjectief</w:t>
            </w:r>
            <w:r w:rsidRPr="001D623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786" w:type="dxa"/>
          </w:tcPr>
          <w:p w:rsidR="00D952BD" w:rsidRPr="001D6235" w:rsidRDefault="00D952BD" w:rsidP="00DC0846">
            <w:pPr>
              <w:rPr>
                <w:rFonts w:cs="Tahoma"/>
                <w:sz w:val="21"/>
                <w:szCs w:val="21"/>
              </w:rPr>
            </w:pPr>
            <w:r w:rsidRPr="001D6235">
              <w:rPr>
                <w:rFonts w:cs="Tahoma"/>
                <w:sz w:val="21"/>
                <w:szCs w:val="21"/>
              </w:rPr>
              <w:t>Feiten zijn voor iedereen contr</w:t>
            </w:r>
            <w:r w:rsidRPr="001D6235">
              <w:rPr>
                <w:rFonts w:cs="Tahoma"/>
                <w:sz w:val="21"/>
                <w:szCs w:val="21"/>
              </w:rPr>
              <w:t>o</w:t>
            </w:r>
            <w:r w:rsidRPr="001D6235">
              <w:rPr>
                <w:rFonts w:cs="Tahoma"/>
                <w:sz w:val="21"/>
                <w:szCs w:val="21"/>
              </w:rPr>
              <w:t>leerbaar en meningen niet. Feiten noem je objectief omdat ze iets zeggen over de werkelijkheid. M</w:t>
            </w:r>
            <w:r w:rsidRPr="001D6235">
              <w:rPr>
                <w:rFonts w:cs="Tahoma"/>
                <w:sz w:val="21"/>
                <w:szCs w:val="21"/>
              </w:rPr>
              <w:t>e</w:t>
            </w:r>
            <w:r w:rsidRPr="001D6235">
              <w:rPr>
                <w:rFonts w:cs="Tahoma"/>
                <w:sz w:val="21"/>
                <w:szCs w:val="21"/>
              </w:rPr>
              <w:t>ningen zijn subjectief omdat ze vooral iets zeggen over degene die de mening geeft.</w:t>
            </w:r>
          </w:p>
        </w:tc>
        <w:tc>
          <w:tcPr>
            <w:tcW w:w="8787" w:type="dxa"/>
          </w:tcPr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Feit: Gebaseerd op de waarheid.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Mening: Is een gedachte van i</w:t>
            </w:r>
            <w:r w:rsidRPr="001D6235">
              <w:rPr>
                <w:rFonts w:cs="Arial"/>
                <w:sz w:val="21"/>
                <w:szCs w:val="21"/>
              </w:rPr>
              <w:t>e</w:t>
            </w:r>
            <w:r w:rsidRPr="001D6235">
              <w:rPr>
                <w:rFonts w:cs="Arial"/>
                <w:sz w:val="21"/>
                <w:szCs w:val="21"/>
              </w:rPr>
              <w:t>mand en staat dus niet vast.</w:t>
            </w:r>
          </w:p>
          <w:p w:rsidR="00D952BD" w:rsidRPr="001D6235" w:rsidRDefault="00D952BD" w:rsidP="00B50B43">
            <w:pPr>
              <w:pStyle w:val="NoSpacing"/>
              <w:rPr>
                <w:sz w:val="21"/>
                <w:szCs w:val="21"/>
              </w:rPr>
            </w:pPr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Communicatie</w:t>
            </w:r>
          </w:p>
        </w:tc>
        <w:tc>
          <w:tcPr>
            <w:tcW w:w="8786" w:type="dxa"/>
          </w:tcPr>
          <w:p w:rsidR="00D952BD" w:rsidRPr="001D6235" w:rsidRDefault="00D952BD" w:rsidP="00DC0846">
            <w:pPr>
              <w:rPr>
                <w:rFonts w:cs="Tahoma"/>
                <w:sz w:val="21"/>
                <w:szCs w:val="21"/>
              </w:rPr>
            </w:pPr>
            <w:r w:rsidRPr="001D6235">
              <w:rPr>
                <w:rFonts w:cs="Tahoma"/>
                <w:sz w:val="21"/>
                <w:szCs w:val="21"/>
              </w:rPr>
              <w:t>De zender (degene die wat zegt) Geeft een boodschap (wat hij zegt) aan de ontvanger (d</w:t>
            </w:r>
            <w:r w:rsidRPr="001D6235">
              <w:rPr>
                <w:rFonts w:cs="Tahoma"/>
                <w:sz w:val="21"/>
                <w:szCs w:val="21"/>
              </w:rPr>
              <w:t>e</w:t>
            </w:r>
            <w:r w:rsidRPr="001D6235">
              <w:rPr>
                <w:rFonts w:cs="Tahoma"/>
                <w:sz w:val="21"/>
                <w:szCs w:val="21"/>
              </w:rPr>
              <w:t>gene die lui</w:t>
            </w:r>
            <w:r w:rsidRPr="001D6235">
              <w:rPr>
                <w:rFonts w:cs="Tahoma"/>
                <w:sz w:val="21"/>
                <w:szCs w:val="21"/>
              </w:rPr>
              <w:t>s</w:t>
            </w:r>
            <w:r w:rsidRPr="001D6235">
              <w:rPr>
                <w:rFonts w:cs="Tahoma"/>
                <w:sz w:val="21"/>
                <w:szCs w:val="21"/>
              </w:rPr>
              <w:t>tert).</w:t>
            </w:r>
          </w:p>
          <w:p w:rsidR="00D952BD" w:rsidRPr="001D6235" w:rsidRDefault="00D952BD" w:rsidP="00DC0846">
            <w:pPr>
              <w:pStyle w:val="NoSpacing"/>
              <w:rPr>
                <w:rFonts w:cs="Tahoma"/>
                <w:b/>
                <w:bCs/>
                <w:sz w:val="21"/>
                <w:szCs w:val="21"/>
              </w:rPr>
            </w:pPr>
          </w:p>
          <w:p w:rsidR="00D952BD" w:rsidRPr="001D6235" w:rsidRDefault="00D952BD" w:rsidP="00DC0846">
            <w:pPr>
              <w:pStyle w:val="NoSpacing"/>
              <w:rPr>
                <w:sz w:val="21"/>
                <w:szCs w:val="21"/>
              </w:rPr>
            </w:pPr>
            <w:r w:rsidRPr="001D6235">
              <w:rPr>
                <w:rFonts w:cs="Tahoma"/>
                <w:b/>
                <w:bCs/>
                <w:sz w:val="21"/>
                <w:szCs w:val="21"/>
              </w:rPr>
              <w:t>Wat kan er misgaan?</w:t>
            </w:r>
            <w:r w:rsidRPr="001D6235">
              <w:rPr>
                <w:rFonts w:cs="Tahoma"/>
                <w:sz w:val="21"/>
                <w:szCs w:val="21"/>
              </w:rPr>
              <w:br/>
              <w:t>-De zender kan onduidelijk praten.</w:t>
            </w:r>
            <w:r w:rsidRPr="001D6235">
              <w:rPr>
                <w:rFonts w:cs="Tahoma"/>
                <w:sz w:val="21"/>
                <w:szCs w:val="21"/>
              </w:rPr>
              <w:br/>
              <w:t>-De boodschap kan onduidelijk worden uitgelegd.</w:t>
            </w:r>
            <w:r w:rsidRPr="001D6235">
              <w:rPr>
                <w:rFonts w:cs="Tahoma"/>
                <w:sz w:val="21"/>
                <w:szCs w:val="21"/>
              </w:rPr>
              <w:br/>
              <w:t>-De ontvanger kan slaperig zijn en daardoor de boodschap niet goed begrijpen.</w:t>
            </w:r>
          </w:p>
        </w:tc>
        <w:tc>
          <w:tcPr>
            <w:tcW w:w="8787" w:type="dxa"/>
          </w:tcPr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Communicatie: Is iets overbrengen en duidelijk maken aan een ander.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Miscommunicatie: Als er iets niet goed overgebracht word naar een ander dan spreek je van misco</w:t>
            </w:r>
            <w:r w:rsidRPr="001D6235">
              <w:rPr>
                <w:rFonts w:cs="Arial"/>
                <w:sz w:val="21"/>
                <w:szCs w:val="21"/>
              </w:rPr>
              <w:t>m</w:t>
            </w:r>
            <w:r w:rsidRPr="001D6235">
              <w:rPr>
                <w:rFonts w:cs="Arial"/>
                <w:sz w:val="21"/>
                <w:szCs w:val="21"/>
              </w:rPr>
              <w:t>municatie.</w:t>
            </w:r>
          </w:p>
          <w:p w:rsidR="00D952BD" w:rsidRPr="001D6235" w:rsidRDefault="00D952BD" w:rsidP="00B50B43">
            <w:pPr>
              <w:pStyle w:val="NoSpacing"/>
              <w:rPr>
                <w:sz w:val="21"/>
                <w:szCs w:val="21"/>
              </w:rPr>
            </w:pPr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Selectieve waarneming</w:t>
            </w:r>
          </w:p>
          <w:p w:rsidR="00D952BD" w:rsidRPr="001D6235" w:rsidRDefault="00D952BD" w:rsidP="00DC0846">
            <w:pPr>
              <w:pStyle w:val="NoSpacing"/>
              <w:rPr>
                <w:b/>
                <w:bCs/>
                <w:sz w:val="21"/>
                <w:szCs w:val="21"/>
              </w:rPr>
            </w:pPr>
            <w:r w:rsidRPr="001D6235">
              <w:rPr>
                <w:b/>
                <w:bCs/>
                <w:sz w:val="21"/>
                <w:szCs w:val="21"/>
              </w:rPr>
              <w:t>En Referentiekader</w:t>
            </w:r>
          </w:p>
        </w:tc>
        <w:tc>
          <w:tcPr>
            <w:tcW w:w="8786" w:type="dxa"/>
          </w:tcPr>
          <w:p w:rsidR="00D952BD" w:rsidRPr="001D6235" w:rsidRDefault="00D952BD" w:rsidP="00DC0846">
            <w:pPr>
              <w:rPr>
                <w:rFonts w:cs="Tahoma"/>
                <w:sz w:val="21"/>
                <w:szCs w:val="21"/>
              </w:rPr>
            </w:pPr>
            <w:r w:rsidRPr="001D6235">
              <w:rPr>
                <w:rFonts w:cs="Tahoma"/>
                <w:b/>
                <w:bCs/>
                <w:sz w:val="21"/>
                <w:szCs w:val="21"/>
              </w:rPr>
              <w:t>Selectieve waarneming</w:t>
            </w:r>
            <w:r w:rsidRPr="001D6235">
              <w:rPr>
                <w:rFonts w:cs="Tahoma"/>
                <w:sz w:val="21"/>
                <w:szCs w:val="21"/>
              </w:rPr>
              <w:t>: elke i</w:t>
            </w:r>
            <w:r w:rsidRPr="001D6235">
              <w:rPr>
                <w:rFonts w:cs="Tahoma"/>
                <w:sz w:val="21"/>
                <w:szCs w:val="21"/>
              </w:rPr>
              <w:t>n</w:t>
            </w:r>
            <w:r w:rsidRPr="001D6235">
              <w:rPr>
                <w:rFonts w:cs="Tahoma"/>
                <w:sz w:val="21"/>
                <w:szCs w:val="21"/>
              </w:rPr>
              <w:t>formatie wordt zodanig vervormd dat deze zoveel mogelijk post in ons referentiekader.</w:t>
            </w:r>
            <w:r w:rsidRPr="001D6235">
              <w:rPr>
                <w:rFonts w:cs="Tahoma"/>
                <w:sz w:val="21"/>
                <w:szCs w:val="21"/>
              </w:rPr>
              <w:br/>
            </w:r>
            <w:r w:rsidRPr="001D6235">
              <w:rPr>
                <w:rFonts w:cs="Tahoma"/>
                <w:b/>
                <w:bCs/>
                <w:sz w:val="21"/>
                <w:szCs w:val="21"/>
              </w:rPr>
              <w:t>Referentiekader</w:t>
            </w:r>
            <w:r w:rsidRPr="001D6235">
              <w:rPr>
                <w:rFonts w:cs="Tahoma"/>
                <w:sz w:val="21"/>
                <w:szCs w:val="21"/>
              </w:rPr>
              <w:t>: alles wat je bezit aan kennis, ervaringen, normen, waarden en gewoontes.</w:t>
            </w:r>
          </w:p>
        </w:tc>
        <w:tc>
          <w:tcPr>
            <w:tcW w:w="8787" w:type="dxa"/>
          </w:tcPr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Selectieve waarneming: Waarn</w:t>
            </w:r>
            <w:r w:rsidRPr="001D6235">
              <w:rPr>
                <w:rFonts w:cs="Arial"/>
                <w:sz w:val="21"/>
                <w:szCs w:val="21"/>
              </w:rPr>
              <w:t>e</w:t>
            </w:r>
            <w:r w:rsidRPr="001D6235">
              <w:rPr>
                <w:rFonts w:cs="Arial"/>
                <w:sz w:val="21"/>
                <w:szCs w:val="21"/>
              </w:rPr>
              <w:t>men wat je zelf wilt.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Referentiekader: Alles wat je bezit aan kennis, ervaring, normen, waarden en gewoonten.</w:t>
            </w:r>
          </w:p>
          <w:p w:rsidR="00D952BD" w:rsidRPr="001D6235" w:rsidRDefault="00D952BD" w:rsidP="00B50B43">
            <w:pPr>
              <w:pStyle w:val="NoSpacing"/>
              <w:rPr>
                <w:sz w:val="21"/>
                <w:szCs w:val="21"/>
              </w:rPr>
            </w:pPr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 xml:space="preserve">Manipulatie, </w:t>
            </w:r>
            <w:proofErr w:type="gramStart"/>
            <w:r w:rsidRPr="001D6235">
              <w:rPr>
                <w:b/>
                <w:sz w:val="21"/>
                <w:szCs w:val="21"/>
              </w:rPr>
              <w:t xml:space="preserve">propaganda  </w:t>
            </w:r>
            <w:proofErr w:type="gramEnd"/>
            <w:r w:rsidRPr="001D6235">
              <w:rPr>
                <w:b/>
                <w:sz w:val="21"/>
                <w:szCs w:val="21"/>
              </w:rPr>
              <w:t>en i</w:t>
            </w:r>
            <w:r w:rsidRPr="001D6235">
              <w:rPr>
                <w:b/>
                <w:sz w:val="21"/>
                <w:szCs w:val="21"/>
              </w:rPr>
              <w:t>n</w:t>
            </w:r>
            <w:r w:rsidRPr="001D6235">
              <w:rPr>
                <w:b/>
                <w:sz w:val="21"/>
                <w:szCs w:val="21"/>
              </w:rPr>
              <w:t>doctrinatie</w:t>
            </w:r>
          </w:p>
        </w:tc>
        <w:tc>
          <w:tcPr>
            <w:tcW w:w="8786" w:type="dxa"/>
          </w:tcPr>
          <w:p w:rsidR="00D952BD" w:rsidRPr="001D6235" w:rsidRDefault="00D952BD" w:rsidP="00DC0846">
            <w:pPr>
              <w:rPr>
                <w:rFonts w:eastAsia="Times New Roman" w:cs="Times New Roman"/>
                <w:sz w:val="21"/>
                <w:szCs w:val="21"/>
                <w:lang w:eastAsia="ja-JP" w:bidi="he-IL"/>
              </w:rPr>
            </w:pPr>
            <w:r w:rsidRPr="001D6235">
              <w:rPr>
                <w:rFonts w:eastAsia="Times New Roman" w:cs="Times New Roman"/>
                <w:b/>
                <w:bCs/>
                <w:sz w:val="21"/>
                <w:szCs w:val="21"/>
                <w:lang w:eastAsia="ja-JP" w:bidi="he-IL"/>
              </w:rPr>
              <w:t>Manipulatie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: feiten opzettelijk weglaten of verdraaien zonder dat de ontvanger het merkt. Bijvoorbeeld: een politicus die een fout niet wil toegeven uit angst voor politiekgezichtsve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r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lies.</w:t>
            </w:r>
          </w:p>
          <w:p w:rsidR="00D952BD" w:rsidRPr="001D6235" w:rsidRDefault="00D952BD" w:rsidP="001D6235">
            <w:pPr>
              <w:rPr>
                <w:rFonts w:eastAsia="Times New Roman" w:cs="Times New Roman"/>
                <w:sz w:val="21"/>
                <w:szCs w:val="21"/>
                <w:lang w:eastAsia="ja-JP" w:bidi="he-IL"/>
              </w:rPr>
            </w:pPr>
            <w:r w:rsidRPr="001D6235">
              <w:rPr>
                <w:rFonts w:eastAsia="Times New Roman" w:cs="Times New Roman"/>
                <w:b/>
                <w:bCs/>
                <w:sz w:val="21"/>
                <w:szCs w:val="21"/>
                <w:lang w:eastAsia="ja-JP" w:bidi="he-IL"/>
              </w:rPr>
              <w:t>Propaganda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: doelbewust eenzijd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i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ge informatie geven met als doel mensen te beïnvloeden. Bijvoorbeeld: andere politieke partijen zwart maken om zelf beter te wo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r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den.</w:t>
            </w:r>
          </w:p>
          <w:p w:rsidR="00D952BD" w:rsidRPr="001D6235" w:rsidRDefault="00D952BD" w:rsidP="00DC0846">
            <w:pPr>
              <w:rPr>
                <w:rFonts w:eastAsia="Times New Roman" w:cs="Times New Roman"/>
                <w:sz w:val="21"/>
                <w:szCs w:val="21"/>
                <w:lang w:eastAsia="ja-JP" w:bidi="he-IL"/>
              </w:rPr>
            </w:pPr>
            <w:r w:rsidRPr="001D6235">
              <w:rPr>
                <w:rFonts w:eastAsia="Times New Roman" w:cs="Times New Roman"/>
                <w:b/>
                <w:bCs/>
                <w:sz w:val="21"/>
                <w:szCs w:val="21"/>
                <w:lang w:eastAsia="ja-JP" w:bidi="he-IL"/>
              </w:rPr>
              <w:t>Indoctrinatie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: langdurig, system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a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tisch heel dwingend eenzijdige opvattingen en meningen worden opgedrongen aan het publiek.</w:t>
            </w:r>
          </w:p>
          <w:p w:rsidR="00D952BD" w:rsidRPr="001D6235" w:rsidRDefault="00D952BD" w:rsidP="001D6235">
            <w:pPr>
              <w:rPr>
                <w:rFonts w:eastAsia="Times New Roman" w:cs="Times New Roman"/>
                <w:sz w:val="21"/>
                <w:szCs w:val="21"/>
                <w:lang w:eastAsia="ja-JP" w:bidi="he-IL"/>
              </w:rPr>
            </w:pP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Bijvoorbeeld: In de vroegere co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m</w:t>
            </w:r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 xml:space="preserve">munistische Sovjet-Unie vertelden de televisie en kranten elk jaar dat </w:t>
            </w:r>
            <w:proofErr w:type="gramStart"/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>de</w:t>
            </w:r>
            <w:proofErr w:type="gramEnd"/>
            <w:r w:rsidRPr="001D6235">
              <w:rPr>
                <w:rFonts w:eastAsia="Times New Roman" w:cs="Times New Roman"/>
                <w:sz w:val="21"/>
                <w:szCs w:val="21"/>
                <w:lang w:eastAsia="ja-JP" w:bidi="he-IL"/>
              </w:rPr>
              <w:t xml:space="preserve"> graan oogsten weer beter waren dan de jaren daarvoor.</w:t>
            </w:r>
          </w:p>
        </w:tc>
        <w:tc>
          <w:tcPr>
            <w:tcW w:w="8787" w:type="dxa"/>
          </w:tcPr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Manipulatie: Feiten opzettelijk weggelaten of verdraaid zonder dat de ontvanger het merkt.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Propaganda: Doelbewust eenzijd</w:t>
            </w:r>
            <w:r w:rsidRPr="001D6235">
              <w:rPr>
                <w:rFonts w:cs="Arial"/>
                <w:sz w:val="21"/>
                <w:szCs w:val="21"/>
              </w:rPr>
              <w:t>i</w:t>
            </w:r>
            <w:r w:rsidRPr="001D6235">
              <w:rPr>
                <w:rFonts w:cs="Arial"/>
                <w:sz w:val="21"/>
                <w:szCs w:val="21"/>
              </w:rPr>
              <w:t xml:space="preserve">ge informatie </w:t>
            </w:r>
            <w:proofErr w:type="gramStart"/>
            <w:r w:rsidRPr="001D6235">
              <w:rPr>
                <w:rFonts w:cs="Arial"/>
                <w:sz w:val="21"/>
                <w:szCs w:val="21"/>
              </w:rPr>
              <w:t>word</w:t>
            </w:r>
            <w:proofErr w:type="gramEnd"/>
            <w:r w:rsidRPr="001D6235">
              <w:rPr>
                <w:rFonts w:cs="Arial"/>
                <w:sz w:val="21"/>
                <w:szCs w:val="21"/>
              </w:rPr>
              <w:t xml:space="preserve"> gegeven met als doel de mening van mensen te beïnvloeden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Indoctrinatie: Langdurig, systematisch en heel dwingende eenzijdige opvattingen en m</w:t>
            </w:r>
            <w:r w:rsidRPr="001D6235">
              <w:rPr>
                <w:rFonts w:cs="Arial"/>
                <w:sz w:val="21"/>
                <w:szCs w:val="21"/>
              </w:rPr>
              <w:t>e</w:t>
            </w:r>
            <w:r w:rsidRPr="001D6235">
              <w:rPr>
                <w:rFonts w:cs="Arial"/>
                <w:sz w:val="21"/>
                <w:szCs w:val="21"/>
              </w:rPr>
              <w:t>ningen worden opgedwongen aan het publiek</w:t>
            </w:r>
          </w:p>
          <w:p w:rsidR="00D952BD" w:rsidRPr="001D6235" w:rsidRDefault="00D952BD" w:rsidP="00B50B43">
            <w:pPr>
              <w:pStyle w:val="NoSpacing"/>
              <w:rPr>
                <w:sz w:val="21"/>
                <w:szCs w:val="21"/>
              </w:rPr>
            </w:pPr>
          </w:p>
        </w:tc>
      </w:tr>
      <w:tr w:rsidR="00D952BD" w:rsidRPr="001D6235" w:rsidTr="00D952BD">
        <w:tc>
          <w:tcPr>
            <w:tcW w:w="3514" w:type="dxa"/>
          </w:tcPr>
          <w:p w:rsidR="00D952BD" w:rsidRPr="001D6235" w:rsidRDefault="00D952BD">
            <w:pPr>
              <w:rPr>
                <w:b/>
                <w:sz w:val="21"/>
                <w:szCs w:val="21"/>
              </w:rPr>
            </w:pPr>
            <w:r w:rsidRPr="001D6235">
              <w:rPr>
                <w:b/>
                <w:sz w:val="21"/>
                <w:szCs w:val="21"/>
              </w:rPr>
              <w:t>Discriminatie</w:t>
            </w:r>
          </w:p>
        </w:tc>
        <w:tc>
          <w:tcPr>
            <w:tcW w:w="8786" w:type="dxa"/>
          </w:tcPr>
          <w:p w:rsidR="00D952BD" w:rsidRPr="001D6235" w:rsidRDefault="00D952BD" w:rsidP="00DC0846">
            <w:pPr>
              <w:rPr>
                <w:rFonts w:cs="Tahoma"/>
                <w:sz w:val="21"/>
                <w:szCs w:val="21"/>
              </w:rPr>
            </w:pPr>
            <w:r w:rsidRPr="001D6235">
              <w:rPr>
                <w:sz w:val="21"/>
                <w:szCs w:val="21"/>
              </w:rPr>
              <w:t>Dan behandel je een groep anders op grond van belang</w:t>
            </w:r>
          </w:p>
        </w:tc>
        <w:tc>
          <w:tcPr>
            <w:tcW w:w="8787" w:type="dxa"/>
          </w:tcPr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Stereotypering: je hebt een vas</w:t>
            </w:r>
            <w:r w:rsidRPr="001D6235">
              <w:rPr>
                <w:rFonts w:cs="Arial"/>
                <w:sz w:val="21"/>
                <w:szCs w:val="21"/>
              </w:rPr>
              <w:t>t</w:t>
            </w:r>
            <w:r w:rsidRPr="001D6235">
              <w:rPr>
                <w:rFonts w:cs="Arial"/>
                <w:sz w:val="21"/>
                <w:szCs w:val="21"/>
              </w:rPr>
              <w:t>staand beeld van een hele groep mensen</w:t>
            </w:r>
          </w:p>
          <w:p w:rsidR="00D952BD" w:rsidRPr="001D6235" w:rsidRDefault="00D952BD" w:rsidP="00427BAA">
            <w:pPr>
              <w:rPr>
                <w:rFonts w:cs="Arial"/>
                <w:sz w:val="21"/>
                <w:szCs w:val="21"/>
              </w:rPr>
            </w:pPr>
            <w:r w:rsidRPr="001D6235">
              <w:rPr>
                <w:rFonts w:cs="Arial"/>
                <w:sz w:val="21"/>
                <w:szCs w:val="21"/>
              </w:rPr>
              <w:t>Discriminatie: waarbij je mensen van een bepaalde groep anders behandeld op grond van kenme</w:t>
            </w:r>
            <w:r w:rsidRPr="001D6235">
              <w:rPr>
                <w:rFonts w:cs="Arial"/>
                <w:sz w:val="21"/>
                <w:szCs w:val="21"/>
              </w:rPr>
              <w:t>r</w:t>
            </w:r>
            <w:r w:rsidRPr="001D6235">
              <w:rPr>
                <w:rFonts w:cs="Arial"/>
                <w:sz w:val="21"/>
                <w:szCs w:val="21"/>
              </w:rPr>
              <w:t>ken die in een gegeven situatie niet van belang zijn.</w:t>
            </w:r>
          </w:p>
        </w:tc>
      </w:tr>
    </w:tbl>
    <w:p w:rsidR="00401BF4" w:rsidRPr="001D6235" w:rsidRDefault="00401BF4">
      <w:pPr>
        <w:rPr>
          <w:sz w:val="21"/>
          <w:szCs w:val="21"/>
        </w:rPr>
      </w:pPr>
      <w:bookmarkStart w:id="0" w:name="_GoBack"/>
      <w:bookmarkEnd w:id="0"/>
    </w:p>
    <w:sectPr w:rsidR="00401BF4" w:rsidRPr="001D6235" w:rsidSect="00DD2C2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0974"/>
    <w:multiLevelType w:val="hybridMultilevel"/>
    <w:tmpl w:val="DA1A9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D2C23"/>
    <w:rsid w:val="000B2469"/>
    <w:rsid w:val="000D558C"/>
    <w:rsid w:val="001D6235"/>
    <w:rsid w:val="00305DB2"/>
    <w:rsid w:val="00401BF4"/>
    <w:rsid w:val="00416333"/>
    <w:rsid w:val="00427BAA"/>
    <w:rsid w:val="005906FD"/>
    <w:rsid w:val="00616B36"/>
    <w:rsid w:val="00742B7A"/>
    <w:rsid w:val="009D77E3"/>
    <w:rsid w:val="00A21B10"/>
    <w:rsid w:val="00AC697E"/>
    <w:rsid w:val="00B42061"/>
    <w:rsid w:val="00B50B43"/>
    <w:rsid w:val="00B8029D"/>
    <w:rsid w:val="00D952BD"/>
    <w:rsid w:val="00DC0846"/>
    <w:rsid w:val="00DD2C23"/>
    <w:rsid w:val="00E9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21B10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B10"/>
    <w:pPr>
      <w:spacing w:after="0" w:line="240" w:lineRule="auto"/>
    </w:pPr>
    <w:rPr>
      <w:rFonts w:ascii="Book Antiqua" w:hAnsi="Book Antiqua"/>
    </w:rPr>
  </w:style>
  <w:style w:type="table" w:styleId="TableGrid">
    <w:name w:val="Table Grid"/>
    <w:basedOn w:val="TableNormal"/>
    <w:uiPriority w:val="59"/>
    <w:rsid w:val="00DD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69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6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A21B10"/>
    <w:rPr>
      <w:rFonts w:ascii="Book Antiqua" w:hAnsi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1B10"/>
    <w:pPr>
      <w:spacing w:after="0" w:line="240" w:lineRule="auto"/>
    </w:pPr>
    <w:rPr>
      <w:rFonts w:ascii="Book Antiqua" w:hAnsi="Book Antiqua"/>
    </w:rPr>
  </w:style>
  <w:style w:type="table" w:styleId="Tabelraster">
    <w:name w:val="Table Grid"/>
    <w:basedOn w:val="Standaardtabel"/>
    <w:uiPriority w:val="59"/>
    <w:rsid w:val="00DD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AC697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96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WinXP user</cp:lastModifiedBy>
  <cp:revision>5</cp:revision>
  <dcterms:created xsi:type="dcterms:W3CDTF">2010-09-19T09:36:00Z</dcterms:created>
  <dcterms:modified xsi:type="dcterms:W3CDTF">2010-09-19T10:24:00Z</dcterms:modified>
</cp:coreProperties>
</file>